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961" w:rsidRDefault="00F971E2">
      <w:pPr>
        <w:rPr>
          <w:rFonts w:asciiTheme="minorEastAsia" w:eastAsiaTheme="minorEastAsia" w:hAnsiTheme="minorEastAsia" w:cstheme="minorEastAsia"/>
          <w:sz w:val="28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eastAsia="zh-CN"/>
        </w:rPr>
        <w:t>附件</w:t>
      </w:r>
      <w:r w:rsidR="000E5174">
        <w:rPr>
          <w:rFonts w:asciiTheme="minorEastAsia" w:eastAsia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：</w:t>
      </w:r>
    </w:p>
    <w:p w:rsidR="00C84961" w:rsidRDefault="00F971E2">
      <w:pPr>
        <w:ind w:firstLineChars="700" w:firstLine="2520"/>
        <w:rPr>
          <w:rFonts w:asciiTheme="majorEastAsia" w:eastAsiaTheme="majorEastAsia" w:hAnsiTheme="majorEastAsia" w:cstheme="majorEastAsia"/>
          <w:sz w:val="36"/>
          <w:szCs w:val="36"/>
          <w:lang w:eastAsia="zh-CN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预算支出绩效目标申报</w:t>
      </w:r>
      <w:r>
        <w:rPr>
          <w:rFonts w:asciiTheme="majorEastAsia" w:eastAsiaTheme="majorEastAsia" w:hAnsiTheme="majorEastAsia" w:cstheme="majorEastAsia" w:hint="eastAsia"/>
          <w:sz w:val="36"/>
          <w:szCs w:val="36"/>
          <w:lang w:eastAsia="zh-CN"/>
        </w:rPr>
        <w:t>表</w:t>
      </w:r>
    </w:p>
    <w:tbl>
      <w:tblPr>
        <w:tblpPr w:leftFromText="180" w:rightFromText="180" w:vertAnchor="text" w:horzAnchor="page" w:tblpX="1560" w:tblpY="174"/>
        <w:tblOverlap w:val="never"/>
        <w:tblW w:w="97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1130"/>
        <w:gridCol w:w="1592"/>
        <w:gridCol w:w="1354"/>
        <w:gridCol w:w="1392"/>
        <w:gridCol w:w="1862"/>
        <w:gridCol w:w="1824"/>
      </w:tblGrid>
      <w:tr w:rsidR="00C84961">
        <w:trPr>
          <w:trHeight w:hRule="exact" w:val="435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项目名称</w:t>
            </w:r>
          </w:p>
        </w:tc>
        <w:tc>
          <w:tcPr>
            <w:tcW w:w="80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项目类型</w:t>
            </w:r>
          </w:p>
        </w:tc>
        <w:tc>
          <w:tcPr>
            <w:tcW w:w="80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项目等级</w:t>
            </w:r>
          </w:p>
        </w:tc>
        <w:tc>
          <w:tcPr>
            <w:tcW w:w="80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一级项目/二级项目</w:t>
            </w:r>
          </w:p>
        </w:tc>
      </w:tr>
      <w:tr w:rsidR="00C84961">
        <w:trPr>
          <w:trHeight w:hRule="exact" w:val="360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主管部门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28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用款单位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98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实施期限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起始年度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28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到期年度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94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预算金额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总金额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firstLineChars="100" w:firstLine="22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当年度金额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94"/>
        </w:trPr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项目概述</w:t>
            </w:r>
          </w:p>
        </w:tc>
        <w:tc>
          <w:tcPr>
            <w:tcW w:w="80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98"/>
        </w:trPr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5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阶段性绩效信息 (项目实施计 划）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第二季度</w:t>
            </w:r>
          </w:p>
        </w:tc>
        <w:tc>
          <w:tcPr>
            <w:tcW w:w="6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98"/>
        </w:trPr>
        <w:tc>
          <w:tcPr>
            <w:tcW w:w="17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第三季度</w:t>
            </w:r>
          </w:p>
        </w:tc>
        <w:tc>
          <w:tcPr>
            <w:tcW w:w="6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94"/>
        </w:trPr>
        <w:tc>
          <w:tcPr>
            <w:tcW w:w="17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第四季度</w:t>
            </w:r>
          </w:p>
        </w:tc>
        <w:tc>
          <w:tcPr>
            <w:tcW w:w="64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506"/>
        </w:trPr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总体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绩效目标</w:t>
            </w:r>
          </w:p>
        </w:tc>
        <w:tc>
          <w:tcPr>
            <w:tcW w:w="43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实施周期总目标（跨年度项目需填写</w:t>
            </w:r>
            <w:r>
              <w:rPr>
                <w:rStyle w:val="29pt"/>
                <w:rFonts w:asciiTheme="minorEastAsia" w:eastAsiaTheme="minorEastAsia" w:hAnsiTheme="minorEastAsia" w:cstheme="minorEastAsia" w:hint="eastAsia"/>
                <w:lang w:val="en-US" w:eastAsia="zh-CN" w:bidi="en-US"/>
              </w:rPr>
              <w:t>）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当年度目标</w:t>
            </w:r>
          </w:p>
        </w:tc>
      </w:tr>
      <w:tr w:rsidR="00C84961">
        <w:trPr>
          <w:trHeight w:hRule="exact" w:val="355"/>
        </w:trPr>
        <w:tc>
          <w:tcPr>
            <w:tcW w:w="1720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33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8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目标1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8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目标1</w:t>
            </w:r>
          </w:p>
        </w:tc>
      </w:tr>
      <w:tr w:rsidR="00C84961">
        <w:trPr>
          <w:trHeight w:hRule="exact" w:val="398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497" w:lineRule="exact"/>
              <w:ind w:left="22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绩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497" w:lineRule="exact"/>
              <w:ind w:left="22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效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497" w:lineRule="exact"/>
              <w:ind w:left="22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497" w:lineRule="exact"/>
              <w:ind w:left="22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标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50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75pt"/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一级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150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75pt"/>
                <w:rFonts w:asciiTheme="minorEastAsia" w:eastAsiaTheme="minorEastAsia" w:hAnsiTheme="minorEastAsia" w:cstheme="minorEastAsia" w:hint="eastAsia"/>
                <w:sz w:val="18"/>
                <w:szCs w:val="18"/>
              </w:rPr>
              <w:t>指标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二级指标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三级指标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24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实施周期指标值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34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当年度指标值</w:t>
            </w: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47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产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247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出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247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247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标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  <w:lang w:eastAsia="zh-CN"/>
              </w:rPr>
              <w:t>数量</w:t>
            </w: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55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  <w:lang w:eastAsia="zh-CN"/>
              </w:rPr>
              <w:t>质量</w:t>
            </w: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指标2: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时效指标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指标3: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成本指标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指标4: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50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效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250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益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250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</w:t>
            </w:r>
          </w:p>
          <w:p w:rsidR="00C84961" w:rsidRDefault="00F971E2">
            <w:pPr>
              <w:pStyle w:val="2"/>
              <w:shd w:val="clear" w:color="auto" w:fill="auto"/>
              <w:spacing w:before="0" w:after="0" w:line="250" w:lineRule="exact"/>
              <w:ind w:left="40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标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52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经济效益指标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指标5: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52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社会效益指标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指标6: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54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生态效益指标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指标7: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25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可持续影响指标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指标8: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360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满意度指标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4961" w:rsidRDefault="00F971E2">
            <w:pPr>
              <w:pStyle w:val="2"/>
              <w:shd w:val="clear" w:color="auto" w:fill="auto"/>
              <w:spacing w:before="0" w:after="0" w:line="245" w:lineRule="exac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服务对象 满意度指标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4961" w:rsidRDefault="00F971E2">
            <w:pPr>
              <w:pStyle w:val="2"/>
              <w:shd w:val="clear" w:color="auto" w:fill="auto"/>
              <w:spacing w:before="0" w:after="0" w:line="180" w:lineRule="exact"/>
              <w:ind w:left="140"/>
              <w:jc w:val="both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Style w:val="29pt"/>
                <w:rFonts w:asciiTheme="minorEastAsia" w:eastAsiaTheme="minorEastAsia" w:hAnsiTheme="minorEastAsia" w:cstheme="minorEastAsia" w:hint="eastAsia"/>
              </w:rPr>
              <w:t>指标9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  <w:tr w:rsidR="00C84961">
        <w:trPr>
          <w:trHeight w:hRule="exact" w:val="505"/>
        </w:trPr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4961" w:rsidRDefault="00C84961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</w:p>
        </w:tc>
      </w:tr>
    </w:tbl>
    <w:p w:rsidR="00C84961" w:rsidRDefault="00C84961" w:rsidP="00E4579B">
      <w:pPr>
        <w:rPr>
          <w:rFonts w:asciiTheme="minorEastAsia" w:eastAsiaTheme="minorEastAsia" w:hAnsiTheme="minorEastAsia" w:cstheme="minorEastAsia"/>
          <w:sz w:val="21"/>
          <w:szCs w:val="21"/>
          <w:lang w:val="en-US" w:eastAsia="zh-CN"/>
        </w:rPr>
      </w:pPr>
      <w:bookmarkStart w:id="0" w:name="_GoBack"/>
      <w:bookmarkEnd w:id="0"/>
    </w:p>
    <w:sectPr w:rsidR="00C84961">
      <w:pgSz w:w="11906" w:h="16838"/>
      <w:pgMar w:top="930" w:right="1800" w:bottom="1440" w:left="146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C1E" w:rsidRDefault="00154C1E" w:rsidP="000E5174">
      <w:r>
        <w:separator/>
      </w:r>
    </w:p>
  </w:endnote>
  <w:endnote w:type="continuationSeparator" w:id="0">
    <w:p w:rsidR="00154C1E" w:rsidRDefault="00154C1E" w:rsidP="000E5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">
    <w:altName w:val="Malgun Gothic Semilight"/>
    <w:charset w:val="88"/>
    <w:family w:val="auto"/>
    <w:pitch w:val="default"/>
    <w:sig w:usb0="00000000" w:usb1="38CFFCFA" w:usb2="00000016" w:usb3="00000000" w:csb0="00100001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C1E" w:rsidRDefault="00154C1E" w:rsidP="000E5174">
      <w:r>
        <w:separator/>
      </w:r>
    </w:p>
  </w:footnote>
  <w:footnote w:type="continuationSeparator" w:id="0">
    <w:p w:rsidR="00154C1E" w:rsidRDefault="00154C1E" w:rsidP="000E5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C46E1"/>
    <w:rsid w:val="000E5174"/>
    <w:rsid w:val="00154C1E"/>
    <w:rsid w:val="00C84961"/>
    <w:rsid w:val="00E4579B"/>
    <w:rsid w:val="00F971E2"/>
    <w:rsid w:val="370C46E1"/>
    <w:rsid w:val="7161675E"/>
    <w:rsid w:val="7625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8D0DB1-AD79-4834-BF7B-D70F3C77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MingLiU_HKSCS" w:eastAsia="MingLiU_HKSCS" w:hAnsi="MingLiU_HKSCS" w:cs="MingLiU_HKSCS"/>
      <w:color w:val="000000"/>
      <w:sz w:val="24"/>
      <w:szCs w:val="24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文本 (11)"/>
    <w:basedOn w:val="a"/>
    <w:qFormat/>
    <w:pPr>
      <w:shd w:val="clear" w:color="auto" w:fill="FFFFFF"/>
      <w:spacing w:before="120" w:after="120" w:line="0" w:lineRule="atLeast"/>
    </w:pPr>
    <w:rPr>
      <w:rFonts w:ascii="MingLiU" w:eastAsia="MingLiU" w:hAnsi="MingLiU" w:cs="MingLiU"/>
      <w:spacing w:val="10"/>
      <w:sz w:val="11"/>
      <w:szCs w:val="11"/>
    </w:rPr>
  </w:style>
  <w:style w:type="paragraph" w:customStyle="1" w:styleId="43">
    <w:name w:val="标题 #4 (3)"/>
    <w:basedOn w:val="a"/>
    <w:qFormat/>
    <w:pPr>
      <w:shd w:val="clear" w:color="auto" w:fill="FFFFFF"/>
      <w:spacing w:line="0" w:lineRule="atLeast"/>
      <w:jc w:val="center"/>
      <w:outlineLvl w:val="3"/>
    </w:pPr>
    <w:rPr>
      <w:rFonts w:ascii="MingLiU" w:eastAsia="MingLiU" w:hAnsi="MingLiU" w:cs="MingLiU"/>
      <w:spacing w:val="-10"/>
      <w:sz w:val="36"/>
      <w:szCs w:val="36"/>
    </w:rPr>
  </w:style>
  <w:style w:type="paragraph" w:customStyle="1" w:styleId="2">
    <w:name w:val="正文文本 (2)"/>
    <w:basedOn w:val="a"/>
    <w:link w:val="20"/>
    <w:qFormat/>
    <w:pPr>
      <w:shd w:val="clear" w:color="auto" w:fill="FFFFFF"/>
      <w:spacing w:before="960" w:after="780" w:line="0" w:lineRule="atLeast"/>
      <w:jc w:val="center"/>
    </w:pPr>
    <w:rPr>
      <w:rFonts w:ascii="MingLiU" w:eastAsia="MingLiU" w:hAnsi="MingLiU" w:cs="MingLiU"/>
      <w:spacing w:val="30"/>
      <w:sz w:val="30"/>
      <w:szCs w:val="30"/>
    </w:rPr>
  </w:style>
  <w:style w:type="character" w:customStyle="1" w:styleId="28pt">
    <w:name w:val="正文文本 (2) + 8 pt"/>
    <w:basedOn w:val="20"/>
    <w:qFormat/>
    <w:rPr>
      <w:rFonts w:ascii="MingLiU" w:eastAsia="MingLiU" w:hAnsi="MingLiU" w:cs="MingLiU"/>
      <w:color w:val="000000"/>
      <w:spacing w:val="20"/>
      <w:w w:val="100"/>
      <w:position w:val="0"/>
      <w:sz w:val="16"/>
      <w:szCs w:val="16"/>
      <w:u w:val="none"/>
      <w:lang w:val="zh-TW" w:eastAsia="zh-TW" w:bidi="zh-TW"/>
    </w:rPr>
  </w:style>
  <w:style w:type="character" w:customStyle="1" w:styleId="20">
    <w:name w:val="正文文本 (2)_"/>
    <w:basedOn w:val="a0"/>
    <w:link w:val="2"/>
    <w:qFormat/>
    <w:rPr>
      <w:rFonts w:ascii="MingLiU" w:eastAsia="MingLiU" w:hAnsi="MingLiU" w:cs="MingLiU"/>
      <w:spacing w:val="30"/>
      <w:sz w:val="30"/>
      <w:szCs w:val="30"/>
      <w:u w:val="none"/>
    </w:rPr>
  </w:style>
  <w:style w:type="character" w:customStyle="1" w:styleId="60ptExact">
    <w:name w:val="正文文本 (6) + 间距 0 pt Exact"/>
    <w:basedOn w:val="6"/>
    <w:rPr>
      <w:rFonts w:ascii="MingLiU" w:eastAsia="MingLiU" w:hAnsi="MingLiU" w:cs="MingLiU"/>
      <w:color w:val="000000"/>
      <w:spacing w:val="-10"/>
      <w:w w:val="100"/>
      <w:position w:val="0"/>
      <w:sz w:val="36"/>
      <w:szCs w:val="36"/>
      <w:u w:val="single"/>
      <w:lang w:val="zh-TW" w:eastAsia="zh-TW" w:bidi="zh-TW"/>
    </w:rPr>
  </w:style>
  <w:style w:type="character" w:customStyle="1" w:styleId="6">
    <w:name w:val="正文文本 (6)_"/>
    <w:basedOn w:val="a0"/>
    <w:link w:val="60"/>
    <w:qFormat/>
    <w:rPr>
      <w:rFonts w:ascii="MingLiU" w:eastAsia="MingLiU" w:hAnsi="MingLiU" w:cs="MingLiU"/>
      <w:sz w:val="36"/>
      <w:szCs w:val="36"/>
      <w:u w:val="none"/>
    </w:rPr>
  </w:style>
  <w:style w:type="paragraph" w:customStyle="1" w:styleId="60">
    <w:name w:val="正文文本 (6)"/>
    <w:basedOn w:val="a"/>
    <w:link w:val="6"/>
    <w:qFormat/>
    <w:pPr>
      <w:shd w:val="clear" w:color="auto" w:fill="FFFFFF"/>
      <w:spacing w:line="0" w:lineRule="atLeast"/>
    </w:pPr>
    <w:rPr>
      <w:rFonts w:ascii="MingLiU" w:eastAsia="MingLiU" w:hAnsi="MingLiU" w:cs="MingLiU"/>
      <w:sz w:val="36"/>
      <w:szCs w:val="36"/>
    </w:rPr>
  </w:style>
  <w:style w:type="character" w:customStyle="1" w:styleId="29pt">
    <w:name w:val="正文文本 (2) + 9 pt"/>
    <w:basedOn w:val="20"/>
    <w:qFormat/>
    <w:rPr>
      <w:rFonts w:ascii="MingLiU" w:eastAsia="MingLiU" w:hAnsi="MingLiU" w:cs="MingLiU"/>
      <w:color w:val="000000"/>
      <w:spacing w:val="20"/>
      <w:w w:val="100"/>
      <w:position w:val="0"/>
      <w:sz w:val="18"/>
      <w:szCs w:val="18"/>
      <w:u w:val="none"/>
      <w:lang w:val="zh-TW" w:eastAsia="zh-TW" w:bidi="zh-TW"/>
    </w:rPr>
  </w:style>
  <w:style w:type="character" w:customStyle="1" w:styleId="275pt">
    <w:name w:val="正文文本 (2) + 7.5 pt"/>
    <w:basedOn w:val="20"/>
    <w:qFormat/>
    <w:rPr>
      <w:rFonts w:ascii="MingLiU" w:eastAsia="MingLiU" w:hAnsi="MingLiU" w:cs="MingLiU"/>
      <w:color w:val="000000"/>
      <w:spacing w:val="10"/>
      <w:w w:val="100"/>
      <w:position w:val="0"/>
      <w:sz w:val="15"/>
      <w:szCs w:val="15"/>
      <w:u w:val="none"/>
      <w:lang w:val="zh-TW" w:eastAsia="zh-TW" w:bidi="zh-TW"/>
    </w:rPr>
  </w:style>
  <w:style w:type="paragraph" w:styleId="a3">
    <w:name w:val="header"/>
    <w:basedOn w:val="a"/>
    <w:link w:val="Char"/>
    <w:rsid w:val="000E5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5174"/>
    <w:rPr>
      <w:rFonts w:ascii="MingLiU_HKSCS" w:eastAsia="MingLiU_HKSCS" w:hAnsi="MingLiU_HKSCS" w:cs="MingLiU_HKSCS"/>
      <w:color w:val="000000"/>
      <w:sz w:val="18"/>
      <w:szCs w:val="18"/>
      <w:lang w:val="zh-TW" w:eastAsia="zh-TW" w:bidi="zh-TW"/>
    </w:rPr>
  </w:style>
  <w:style w:type="paragraph" w:styleId="a4">
    <w:name w:val="footer"/>
    <w:basedOn w:val="a"/>
    <w:link w:val="Char0"/>
    <w:rsid w:val="000E51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5174"/>
    <w:rPr>
      <w:rFonts w:ascii="MingLiU_HKSCS" w:eastAsia="MingLiU_HKSCS" w:hAnsi="MingLiU_HKSCS" w:cs="MingLiU_HKSCS"/>
      <w:color w:val="000000"/>
      <w:sz w:val="18"/>
      <w:szCs w:val="1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耿思遥</dc:creator>
  <cp:lastModifiedBy>admin</cp:lastModifiedBy>
  <cp:revision>3</cp:revision>
  <dcterms:created xsi:type="dcterms:W3CDTF">2020-09-07T13:39:00Z</dcterms:created>
  <dcterms:modified xsi:type="dcterms:W3CDTF">2020-09-18T08:03:00Z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